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D" w:rsidRDefault="00D0228D" w:rsidP="00D0228D">
      <w:pPr>
        <w:spacing w:after="288" w:line="289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bookmarkStart w:id="0" w:name="mr"/>
      <w:r w:rsidRPr="00D02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Методические материалы по проведению итогового сочинения (изложения)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–</w:t>
      </w:r>
      <w:r w:rsidRPr="00D02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D0228D" w:rsidRPr="00D0228D" w:rsidRDefault="00D0228D" w:rsidP="00D0228D">
      <w:pPr>
        <w:spacing w:after="288" w:line="289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02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2016-2017 учебный год</w:t>
      </w:r>
      <w:bookmarkEnd w:id="0"/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5" w:history="1"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 xml:space="preserve">Письмо </w:t>
        </w:r>
        <w:proofErr w:type="spellStart"/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Рособрнадзора</w:t>
        </w:r>
        <w:proofErr w:type="spellEnd"/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 xml:space="preserve"> от 17.10.2016 г. № 10-764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6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Рекомендации по организации и проведению итогового сочинения (изложения</w:t>
        </w:r>
        <w:proofErr w:type="gramStart"/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)</w:t>
        </w:r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д</w:t>
        </w:r>
        <w:proofErr w:type="gramEnd"/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ля органов исполнительной власти</w:t>
        </w:r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 субъектов РФ, осуществляющих государственное управление в сфере образования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7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Рекомендации </w:t>
        </w:r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по техническому обеспечению</w:t>
        </w:r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 организации и проведения итогового сочинения (изложения)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8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9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Критерии оценивания итогового сочинения (изложения)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10" w:history="1">
        <w:r w:rsidRPr="00D0228D">
          <w:rPr>
            <w:rFonts w:ascii="Times New Roman" w:eastAsia="Times New Roman" w:hAnsi="Times New Roman" w:cs="Times New Roman"/>
            <w:color w:val="018FE2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11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Методические рекомендации по подготовке и проведению итогового сочинения (изложения) </w:t>
        </w:r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для образовательных организаций</w:t>
        </w:r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, реализующих образовательные программы среднего общего образования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12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Методические рекомендации по подготовке к итоговому сочинению (изложению) для </w:t>
        </w:r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участников </w:t>
        </w:r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итогового сочинения (изложения)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13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Методические рекомендации</w:t>
        </w:r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 </w:t>
        </w:r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для</w:t>
        </w:r>
        <w:r w:rsidRPr="00D0228D">
          <w:rPr>
            <w:rFonts w:ascii="Times New Roman" w:eastAsia="Times New Roman" w:hAnsi="Times New Roman" w:cs="Times New Roman"/>
            <w:b/>
            <w:bCs/>
            <w:color w:val="0071B3"/>
            <w:sz w:val="24"/>
            <w:szCs w:val="24"/>
            <w:lang w:eastAsia="ru-RU"/>
          </w:rPr>
          <w:t> экспертов</w:t>
        </w:r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, участвующих в проверке итогового сочинения (изложения)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D0228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 </w:t>
      </w:r>
      <w:hyperlink r:id="rId14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Бланк регистрации итогового сочинения (изложения)</w:t>
        </w:r>
      </w:hyperlink>
      <w:r w:rsidRPr="00D0228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- </w:t>
      </w:r>
      <w:hyperlink r:id="rId15" w:history="1">
        <w:r w:rsidRPr="00D0228D">
          <w:rPr>
            <w:rFonts w:ascii="Times New Roman" w:eastAsia="Times New Roman" w:hAnsi="Times New Roman" w:cs="Times New Roman"/>
            <w:color w:val="0071B3"/>
            <w:sz w:val="24"/>
            <w:szCs w:val="24"/>
            <w:lang w:eastAsia="ru-RU"/>
          </w:rPr>
          <w:t>Бланк записи итогового сочинения (изложения)</w:t>
        </w:r>
      </w:hyperlink>
    </w:p>
    <w:p w:rsidR="00D0228D" w:rsidRPr="00D0228D" w:rsidRDefault="00D0228D" w:rsidP="00D0228D">
      <w:pPr>
        <w:numPr>
          <w:ilvl w:val="0"/>
          <w:numId w:val="1"/>
        </w:numPr>
        <w:spacing w:before="100" w:beforeAutospacing="1" w:after="100" w:afterAutospacing="1" w:line="289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16" w:history="1">
        <w:r w:rsidRPr="00D0228D">
          <w:rPr>
            <w:rFonts w:ascii="Times New Roman" w:eastAsia="Times New Roman" w:hAnsi="Times New Roman" w:cs="Times New Roman"/>
            <w:i/>
            <w:iCs/>
            <w:color w:val="0071B3"/>
            <w:sz w:val="24"/>
            <w:szCs w:val="24"/>
            <w:lang w:eastAsia="ru-RU"/>
          </w:rPr>
          <w:t>Справка об основных изменениях (дополнениях), вносимых в методические документы, рекомендуемые к использованию при организации и проведении итогового сочинения (изложения) в 2016/17 учебном году</w:t>
        </w:r>
      </w:hyperlink>
    </w:p>
    <w:p w:rsidR="009453D2" w:rsidRDefault="009453D2"/>
    <w:sectPr w:rsidR="009453D2" w:rsidSect="009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441"/>
    <w:multiLevelType w:val="multilevel"/>
    <w:tmpl w:val="E47E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228D"/>
    <w:rsid w:val="009453D2"/>
    <w:rsid w:val="00D0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0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228D"/>
    <w:rPr>
      <w:b/>
      <w:bCs/>
    </w:rPr>
  </w:style>
  <w:style w:type="character" w:styleId="a4">
    <w:name w:val="Hyperlink"/>
    <w:basedOn w:val="a0"/>
    <w:uiPriority w:val="99"/>
    <w:semiHidden/>
    <w:unhideWhenUsed/>
    <w:rsid w:val="00D022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28D"/>
  </w:style>
  <w:style w:type="character" w:styleId="a5">
    <w:name w:val="Emphasis"/>
    <w:basedOn w:val="a0"/>
    <w:uiPriority w:val="20"/>
    <w:qFormat/>
    <w:rsid w:val="00D02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6/sochinenie/3._sbornik_otchetnyh_form_dlya_soch._izl.zip" TargetMode="External"/><Relationship Id="rId13" Type="http://schemas.openxmlformats.org/officeDocument/2006/relationships/hyperlink" Target="http://fipi.ru/sites/default/files/document/2016/sochinenie/8._mr_dlya_eksp._uchastv._v_proverke_it._soch._izl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6/sochinenie/2._mr_po_teh._obespech._soch._izl.docx" TargetMode="External"/><Relationship Id="rId12" Type="http://schemas.openxmlformats.org/officeDocument/2006/relationships/hyperlink" Target="http://fipi.ru/sites/default/files/document/2016/sochinenie/7._mr_po_podg._k_it._soch._izl._dlya_uchast._soch._iz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pi.ru/sites/default/files/document/2016/sochinenie/spravka_ob_osnovnyh_izmeneniyah_v_mr_po_soch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6/sochinenie/1._mr_po_org._i_prov._it._soch._izl._dlya_oiv.docx" TargetMode="External"/><Relationship Id="rId11" Type="http://schemas.openxmlformats.org/officeDocument/2006/relationships/hyperlink" Target="http://fipi.ru/sites/default/files/document/2016/sochinenie/6._mr_po_podg._i_prov.it._soch._izl._dlya_oo.docx" TargetMode="External"/><Relationship Id="rId5" Type="http://schemas.openxmlformats.org/officeDocument/2006/relationships/hyperlink" Target="http://fipi.ru/sites/default/files/document/2016/sochinenie/pismo_ron_ot_17.10.16_no_10-764.pdf" TargetMode="External"/><Relationship Id="rId15" Type="http://schemas.openxmlformats.org/officeDocument/2006/relationships/hyperlink" Target="http://fipi.ru/sites/default/files/document/2016/sochinenie/blank_zapisi_itogovogo_sochineniya_izlozheniya_0.pdf" TargetMode="External"/><Relationship Id="rId10" Type="http://schemas.openxmlformats.org/officeDocument/2006/relationships/hyperlink" Target="http://fipi.ru/sites/default/files/document/2016/sochinenie/5._pravila_zapolneniya_blankov_it._soch._iz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6/sochinenie/4._kriterii_ocenivaniya_it._soch._izl.docx" TargetMode="External"/><Relationship Id="rId14" Type="http://schemas.openxmlformats.org/officeDocument/2006/relationships/hyperlink" Target="http://fipi.ru/sites/default/files/document/2016/sochinenie/blank_registracii_itogovogo_sochineniya_izlozh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2016-11-21T10:41:00Z</dcterms:created>
  <dcterms:modified xsi:type="dcterms:W3CDTF">2016-11-21T10:42:00Z</dcterms:modified>
</cp:coreProperties>
</file>